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07BA4" w:rsidRDefault="00114BF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9">
        <w:r w:rsidR="005D1B98">
          <w:rPr>
            <w:rFonts w:ascii="Arial" w:eastAsia="Arial" w:hAnsi="Arial" w:cs="Arial"/>
            <w:noProof/>
            <w:color w:val="000000"/>
            <w:sz w:val="22"/>
            <w:szCs w:val="22"/>
          </w:rPr>
          <w:drawing>
            <wp:inline distT="0" distB="0" distL="114300" distR="114300">
              <wp:extent cx="6120130" cy="714375"/>
              <wp:effectExtent l="0" t="0" r="0" b="0"/>
              <wp:docPr id="1" name="image1.png" descr="UFF.VI-USR-MARCHE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UFF.VI-USR-MARCHE2.gif"/>
                      <pic:cNvPicPr preferRelativeResize="0"/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7143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7BA4">
        <w:tc>
          <w:tcPr>
            <w:tcW w:w="9778" w:type="dxa"/>
            <w:shd w:val="clear" w:color="auto" w:fill="F2F2F2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ESAME DI STATO CONCLUSIVO DEL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II CICLO DI ISTRUZIONE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BA6613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</w:pPr>
            <w:r w:rsidRPr="00BA6613"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  <w:t xml:space="preserve">RELAZIONE DI PRESENTAZIONE ALL’ ESAME DI STATO 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</w:pPr>
            <w:r w:rsidRPr="00BA6613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6"/>
              </w:rPr>
              <w:t xml:space="preserve">DEL CANDIDATO CON </w:t>
            </w:r>
            <w:r w:rsidR="00BA6613" w:rsidRPr="00BA6613"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  <w:t>DSA</w:t>
            </w:r>
          </w:p>
          <w:p w:rsid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 xml:space="preserve">Allegato al Documento del </w:t>
            </w:r>
            <w:r w:rsidR="00033807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>Consiglio di Classe</w:t>
            </w:r>
          </w:p>
          <w:p w:rsidR="00707BA4" w:rsidRP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8"/>
                <w:szCs w:val="36"/>
              </w:rPr>
            </w:pPr>
            <w:r w:rsidRPr="00BA6613">
              <w:rPr>
                <w:rFonts w:ascii="Arial" w:eastAsia="Arial" w:hAnsi="Arial" w:cs="Arial"/>
                <w:i/>
                <w:color w:val="000000"/>
                <w:sz w:val="28"/>
                <w:szCs w:val="36"/>
              </w:rPr>
              <w:t>(15 maggio 2019)</w:t>
            </w:r>
          </w:p>
          <w:p w:rsid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BA6613" w:rsidRDefault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DENOMINAZIONE TITOLO DI STUDIO CONSEGUITO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DENOMINAZIONE ISTITUZIONE SCOLASTICA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A.S.</w:t>
            </w:r>
            <w:r w:rsidR="00EE4D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2018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/20</w:t>
            </w:r>
            <w:r w:rsidR="00EE4D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19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118"/>
      </w:tblGrid>
      <w:tr w:rsidR="00707BA4">
        <w:trPr>
          <w:trHeight w:val="420"/>
        </w:trPr>
        <w:tc>
          <w:tcPr>
            <w:tcW w:w="9781" w:type="dxa"/>
            <w:gridSpan w:val="3"/>
            <w:shd w:val="clear" w:color="auto" w:fill="D9D9D9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INFORMAZIONI GENERALI SULL’ALUNNO</w:t>
            </w:r>
            <w:r w:rsidR="00EE4DC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 IL SUO PERCORSO 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Classe  5 …</w:t>
            </w:r>
          </w:p>
        </w:tc>
      </w:tr>
      <w:tr w:rsidR="00EE4DC0" w:rsidRPr="00EE4DC0" w:rsidTr="00EE4DC0">
        <w:trPr>
          <w:trHeight w:val="420"/>
        </w:trPr>
        <w:tc>
          <w:tcPr>
            <w:tcW w:w="3544" w:type="dxa"/>
            <w:shd w:val="clear" w:color="auto" w:fill="F2F2F2" w:themeFill="background1" w:themeFillShade="F2"/>
          </w:tcPr>
          <w:p w:rsidR="00EE4DC0" w:rsidRPr="00EE4DC0" w:rsidRDefault="00EE4DC0" w:rsidP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E4DC0" w:rsidRPr="00EE4DC0" w:rsidRDefault="00EE4DC0" w:rsidP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E4DC0" w:rsidRP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di nascita</w:t>
            </w:r>
          </w:p>
        </w:tc>
      </w:tr>
      <w:tr w:rsidR="00EE4DC0" w:rsidTr="00EE4DC0">
        <w:trPr>
          <w:trHeight w:val="420"/>
        </w:trPr>
        <w:tc>
          <w:tcPr>
            <w:tcW w:w="3544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4DC0" w:rsidTr="00EE4DC0">
        <w:trPr>
          <w:trHeight w:val="420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EE4DC0" w:rsidRPr="00EE4DC0" w:rsidRDefault="00577EE1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Diagnosi:</w:t>
            </w:r>
            <w:r w:rsidR="00BD0C7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E4DC0" w:rsidTr="00EE4DC0">
        <w:trPr>
          <w:trHeight w:val="420"/>
        </w:trPr>
        <w:tc>
          <w:tcPr>
            <w:tcW w:w="9781" w:type="dxa"/>
            <w:gridSpan w:val="3"/>
            <w:shd w:val="clear" w:color="auto" w:fill="FFFFFF" w:themeFill="background1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4DC0">
        <w:trPr>
          <w:trHeight w:val="420"/>
        </w:trPr>
        <w:tc>
          <w:tcPr>
            <w:tcW w:w="9781" w:type="dxa"/>
            <w:gridSpan w:val="3"/>
            <w:shd w:val="clear" w:color="auto" w:fill="F2F2F2"/>
          </w:tcPr>
          <w:p w:rsidR="00EE4DC0" w:rsidRDefault="00EE4DC0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Piano </w:t>
            </w:r>
            <w:r w:rsidR="00577EE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Didattico Personalizzato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redatto in data _________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244"/>
      </w:tblGrid>
      <w:tr w:rsidR="005965D3" w:rsidTr="00C75BA5">
        <w:trPr>
          <w:trHeight w:val="420"/>
        </w:trPr>
        <w:tc>
          <w:tcPr>
            <w:tcW w:w="9781" w:type="dxa"/>
            <w:gridSpan w:val="2"/>
            <w:shd w:val="clear" w:color="auto" w:fill="F2F2F2"/>
          </w:tcPr>
          <w:p w:rsidR="005965D3" w:rsidRDefault="005965D3" w:rsidP="004369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Percorso di apprendimento svolto </w:t>
            </w:r>
          </w:p>
        </w:tc>
      </w:tr>
      <w:tr w:rsidR="00DA2E99" w:rsidRPr="00FE42B3" w:rsidTr="00BA6613">
        <w:trPr>
          <w:trHeight w:val="788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E99" w:rsidRPr="00BA6613" w:rsidRDefault="00DA2E99" w:rsidP="00EC073F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A661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Percorso didattico </w:t>
            </w:r>
            <w:r w:rsidR="00BA6613" w:rsidRPr="00BA661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ordinario </w:t>
            </w:r>
            <w:r w:rsidR="00EC073F">
              <w:rPr>
                <w:rFonts w:ascii="Arial" w:eastAsia="Arial" w:hAnsi="Arial" w:cs="Arial"/>
                <w:color w:val="000000"/>
                <w:sz w:val="22"/>
                <w:szCs w:val="22"/>
              </w:rPr>
              <w:t>con nessuna dispensa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DA2E99" w:rsidRPr="00DB3A84" w:rsidRDefault="00DA2E99" w:rsidP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4369B4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>Il candidato consegue il diploma di maturità</w:t>
            </w:r>
          </w:p>
        </w:tc>
      </w:tr>
      <w:tr w:rsidR="005965D3" w:rsidRPr="00150EC8" w:rsidTr="000A0A24">
        <w:trPr>
          <w:trHeight w:val="87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5D3" w:rsidRPr="00150EC8" w:rsidRDefault="005965D3" w:rsidP="00BA6613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  <w:r w:rsidRPr="00150EC8">
              <w:rPr>
                <w:rFonts w:ascii="Arial" w:eastAsia="Arial" w:hAnsi="Arial" w:cs="Arial"/>
                <w:color w:val="000000"/>
                <w:sz w:val="18"/>
                <w:szCs w:val="22"/>
              </w:rPr>
              <w:t>Percorso didattico ordinario con la sola dispensa dalle prove scritte ordinarie di lingua straniera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13" w:rsidRPr="00150EC8" w:rsidRDefault="00BA6613" w:rsidP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</w:pPr>
            <w:r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>N</w:t>
            </w:r>
            <w:r w:rsidR="00DB3A84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el caso in cui la lingua straniera sia oggetto di seconda prova scritta, </w:t>
            </w:r>
            <w:r w:rsidR="00C6306A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>l</w:t>
            </w:r>
            <w:r w:rsidR="00DB3A84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a Commissione sottopone i candidati a prova orale sostitutiva della prova scritta. </w:t>
            </w:r>
          </w:p>
          <w:p w:rsidR="00BA6613" w:rsidRPr="00150EC8" w:rsidRDefault="00DB3A84" w:rsidP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6"/>
              </w:rPr>
            </w:pPr>
            <w:r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>La Commissione, sulla base della documentazione fornita dal</w:t>
            </w:r>
            <w:r w:rsidR="002534BF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 Consiglio di C</w:t>
            </w:r>
            <w:r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lasse, </w:t>
            </w:r>
            <w:r w:rsidR="00BA6613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(Pdp e la presente relazione) </w:t>
            </w:r>
            <w:r w:rsidR="009E2C31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stabilisce modalità, </w:t>
            </w:r>
            <w:r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contenuti </w:t>
            </w:r>
            <w:r w:rsidR="009E2C31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e tempi </w:t>
            </w:r>
            <w:r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>della prova orale</w:t>
            </w:r>
            <w:r w:rsidR="009E2C31" w:rsidRPr="00150EC8"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  <w:t xml:space="preserve"> </w:t>
            </w:r>
            <w:r w:rsidRPr="00150EC8">
              <w:rPr>
                <w:rFonts w:ascii="Arial" w:eastAsia="Arial" w:hAnsi="Arial" w:cs="Arial"/>
                <w:i/>
                <w:color w:val="000000"/>
                <w:sz w:val="18"/>
                <w:szCs w:val="16"/>
              </w:rPr>
              <w:t xml:space="preserve">(O.M. 205/2019 art. 21). </w:t>
            </w:r>
          </w:p>
          <w:p w:rsidR="005965D3" w:rsidRDefault="00DB3A84" w:rsidP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6"/>
              </w:rPr>
            </w:pPr>
            <w:r w:rsidRPr="00150EC8">
              <w:rPr>
                <w:rFonts w:ascii="Arial" w:eastAsia="Arial" w:hAnsi="Arial" w:cs="Arial"/>
                <w:i/>
                <w:color w:val="000000"/>
                <w:sz w:val="18"/>
                <w:szCs w:val="16"/>
              </w:rPr>
              <w:t>Il candidato consegue il diploma di maturità.</w:t>
            </w:r>
          </w:p>
          <w:p w:rsidR="004369B4" w:rsidRPr="00150EC8" w:rsidRDefault="004369B4" w:rsidP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 Narrow" w:hAnsi="Arial" w:cs="Arial"/>
                <w:i/>
                <w:color w:val="000000"/>
                <w:sz w:val="18"/>
                <w:szCs w:val="22"/>
                <w:shd w:val="clear" w:color="auto" w:fill="FFFFFF" w:themeFill="background1"/>
              </w:rPr>
            </w:pPr>
          </w:p>
        </w:tc>
      </w:tr>
      <w:tr w:rsidR="000A0A24" w:rsidRPr="00150EC8" w:rsidTr="000A0A24">
        <w:trPr>
          <w:trHeight w:val="181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0A0A24" w:rsidRPr="00150EC8" w:rsidRDefault="000A0A24" w:rsidP="00150E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</w:rPr>
            </w:pPr>
          </w:p>
        </w:tc>
      </w:tr>
      <w:tr w:rsidR="00150EC8" w:rsidRPr="00150EC8" w:rsidTr="00150EC8">
        <w:trPr>
          <w:trHeight w:val="181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50EC8" w:rsidRPr="00150EC8" w:rsidRDefault="00150EC8" w:rsidP="00150E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</w:rPr>
            </w:pPr>
            <w:r w:rsidRPr="00150EC8">
              <w:rPr>
                <w:rFonts w:ascii="Arial" w:eastAsia="Arial" w:hAnsi="Arial" w:cs="Arial"/>
                <w:color w:val="000000"/>
                <w:sz w:val="16"/>
                <w:szCs w:val="22"/>
              </w:rPr>
              <w:t>Caso eccezionale ma previsto dalla norma</w:t>
            </w:r>
          </w:p>
        </w:tc>
      </w:tr>
      <w:tr w:rsidR="00DA2E99" w:rsidRPr="00150EC8" w:rsidTr="00150EC8">
        <w:trPr>
          <w:trHeight w:val="874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E99" w:rsidRPr="00150EC8" w:rsidRDefault="00DA2E99" w:rsidP="00BA6613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22"/>
              </w:rPr>
            </w:pPr>
            <w:r w:rsidRPr="00150EC8">
              <w:rPr>
                <w:rFonts w:ascii="Arial" w:eastAsia="Arial" w:hAnsi="Arial" w:cs="Arial"/>
                <w:color w:val="000000"/>
                <w:sz w:val="16"/>
                <w:szCs w:val="22"/>
              </w:rPr>
              <w:t>Percorso didattico differenziato, con esonero dall'insegnamento della/e lingua/e straniera/e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E99" w:rsidRPr="00150EC8" w:rsidRDefault="00BA6613" w:rsidP="00BA66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150EC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Il candidato sostiene </w:t>
            </w:r>
            <w:r w:rsidR="00DA2E99" w:rsidRPr="00150EC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prove differenziate, non equipollenti a quelle ordinarie, coerenti con il percorso svolto, finalizzate solo al rilascio dell'attestato di credito f</w:t>
            </w:r>
            <w:r w:rsidRPr="00150EC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ormativo di cui all'art. 20, comma</w:t>
            </w:r>
            <w:r w:rsidR="00DA2E99" w:rsidRPr="00150EC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5, del d.lgs. 62 del 2017 (O.M. 205/2019 art. 21).</w:t>
            </w: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83E0F" w:rsidTr="007F4983">
        <w:tc>
          <w:tcPr>
            <w:tcW w:w="9778" w:type="dxa"/>
            <w:shd w:val="clear" w:color="auto" w:fill="D9D9D9"/>
          </w:tcPr>
          <w:p w:rsidR="00E83E0F" w:rsidRDefault="00E83E0F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PRESENTAZIONE DELL’ALUNNO</w:t>
            </w:r>
          </w:p>
        </w:tc>
      </w:tr>
      <w:tr w:rsidR="00E83E0F" w:rsidRPr="00EE4DC0" w:rsidTr="007F4983">
        <w:trPr>
          <w:trHeight w:val="872"/>
        </w:trPr>
        <w:tc>
          <w:tcPr>
            <w:tcW w:w="9778" w:type="dxa"/>
            <w:shd w:val="clear" w:color="auto" w:fill="F2F2F2" w:themeFill="background1" w:themeFillShade="F2"/>
          </w:tcPr>
          <w:p w:rsidR="00E83E0F" w:rsidRPr="00EE4DC0" w:rsidRDefault="00E83E0F" w:rsidP="00E83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Guida: s</w:t>
            </w:r>
            <w:r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intetizzare le informazioni dei reports educativi (frequenza, interesse e partecipazione, impegno e puntualità nell’eseguire i compiti, progressi nel corso dell’anno scolastico, difficoltà incontrate e modalità di superamento) e didattici (competenze,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conoscenze, abilità raggiunte, </w:t>
            </w:r>
            <w:r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discipline per le quali sono stati adottati p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articolari criteri didattici, </w:t>
            </w:r>
            <w:r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attività integrative ev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entualmente poste in essere, risorse utilizzate, </w:t>
            </w:r>
            <w:r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ausili e tecnologie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 altro di interesse)</w:t>
            </w:r>
          </w:p>
        </w:tc>
      </w:tr>
      <w:tr w:rsidR="00E83E0F" w:rsidTr="007F4983">
        <w:tc>
          <w:tcPr>
            <w:tcW w:w="9778" w:type="dxa"/>
          </w:tcPr>
          <w:p w:rsidR="00E83E0F" w:rsidRDefault="00E83E0F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83E0F" w:rsidRDefault="00E83E0F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83E0F" w:rsidRPr="000A0A24" w:rsidRDefault="00E83E0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0"/>
          <w:szCs w:val="22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5215"/>
      </w:tblGrid>
      <w:tr w:rsidR="00707BA4" w:rsidRPr="00E2472B" w:rsidTr="00E2472B">
        <w:tc>
          <w:tcPr>
            <w:tcW w:w="9778" w:type="dxa"/>
            <w:gridSpan w:val="2"/>
            <w:shd w:val="clear" w:color="auto" w:fill="BFBFBF" w:themeFill="background1" w:themeFillShade="BF"/>
          </w:tcPr>
          <w:p w:rsidR="00707BA4" w:rsidRPr="00E2472B" w:rsidRDefault="005D1B98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STRUMENTI E CRITERI DI VERIFICA </w:t>
            </w:r>
            <w:r w:rsidR="008F656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usati durante il percorso formativo</w:t>
            </w:r>
          </w:p>
        </w:tc>
      </w:tr>
      <w:tr w:rsidR="00E2472B" w:rsidRPr="00E2472B" w:rsidTr="00F77E67">
        <w:tc>
          <w:tcPr>
            <w:tcW w:w="9778" w:type="dxa"/>
            <w:gridSpan w:val="2"/>
            <w:shd w:val="clear" w:color="auto" w:fill="F2F2F2" w:themeFill="background1" w:themeFillShade="F2"/>
          </w:tcPr>
          <w:p w:rsidR="00577EE1" w:rsidRDefault="00BA6613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Guida: esplicitare </w:t>
            </w:r>
            <w:r w:rsidR="00E2472B" w:rsidRPr="004B35B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azio</w:t>
            </w:r>
            <w:r w:rsidR="009B0041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ni svolte in fase di verifica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relative alle discipline oggetto di esame</w:t>
            </w:r>
            <w:r w:rsidR="007E039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  <w:r w:rsidR="004369B4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in coerenza con il PDP</w:t>
            </w:r>
          </w:p>
          <w:p w:rsidR="00934D0B" w:rsidRPr="00E2472B" w:rsidRDefault="00934D0B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958D4" w:rsidTr="00A958D4">
        <w:trPr>
          <w:trHeight w:val="1048"/>
        </w:trPr>
        <w:tc>
          <w:tcPr>
            <w:tcW w:w="4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  <w:t>Verifiche scritte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: </w:t>
            </w:r>
          </w:p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Modalità di svolgimento della prova</w:t>
            </w:r>
          </w:p>
          <w:p w:rsidR="00A958D4" w:rsidRDefault="00A958D4" w:rsidP="007E03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Strumenti Compensativi:</w:t>
            </w:r>
          </w:p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Misure Dispensative:</w:t>
            </w:r>
          </w:p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Pr="00E2472B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</w:tcBorders>
          </w:tcPr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Pr="00E2472B" w:rsidRDefault="00A958D4" w:rsidP="00A958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  <w:tr w:rsidR="00A958D4" w:rsidTr="00A958D4">
        <w:trPr>
          <w:trHeight w:val="1159"/>
        </w:trPr>
        <w:tc>
          <w:tcPr>
            <w:tcW w:w="45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8D4" w:rsidRPr="008F6568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  <w:t>Colloqui orali:</w:t>
            </w:r>
          </w:p>
          <w:p w:rsidR="00A958D4" w:rsidRDefault="00A958D4" w:rsidP="007E03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Strumenti Compensativi:</w:t>
            </w:r>
          </w:p>
          <w:p w:rsidR="00A958D4" w:rsidRDefault="00A958D4" w:rsidP="00577E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Misure Dispensative:</w:t>
            </w:r>
          </w:p>
          <w:p w:rsidR="00A958D4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Pr="008F6568" w:rsidRDefault="00A958D4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</w:tcPr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>
            <w:pP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A958D4" w:rsidRDefault="00A958D4" w:rsidP="00A958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8F6568" w:rsidRPr="000A0A24" w:rsidRDefault="008F6568">
      <w:pPr>
        <w:rPr>
          <w:rFonts w:ascii="Arial" w:eastAsia="Arial" w:hAnsi="Arial" w:cs="Arial"/>
          <w:color w:val="000000"/>
          <w:sz w:val="12"/>
          <w:szCs w:val="22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F6568" w:rsidRPr="00E2472B" w:rsidTr="00613ECD">
        <w:tc>
          <w:tcPr>
            <w:tcW w:w="9778" w:type="dxa"/>
            <w:shd w:val="clear" w:color="auto" w:fill="BFBFBF" w:themeFill="background1" w:themeFillShade="BF"/>
          </w:tcPr>
          <w:p w:rsidR="008F6568" w:rsidRPr="00E2472B" w:rsidRDefault="008F6568" w:rsidP="008F656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Prova INVALSI a.s. 2018/2019</w:t>
            </w:r>
          </w:p>
        </w:tc>
      </w:tr>
      <w:tr w:rsidR="008F6568" w:rsidRPr="00E2472B" w:rsidTr="00613ECD">
        <w:tc>
          <w:tcPr>
            <w:tcW w:w="9778" w:type="dxa"/>
            <w:shd w:val="clear" w:color="auto" w:fill="F2F2F2" w:themeFill="background1" w:themeFillShade="F2"/>
          </w:tcPr>
          <w:p w:rsidR="008F6568" w:rsidRDefault="008F6568" w:rsidP="008F65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Si fa riferimento all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’art. 20, comma 8 del D. Lgs. n. 62/2017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, 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</w:t>
            </w:r>
            <w:r w:rsidR="0051421E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quanto indicato dal Dirigente S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colastico, mediante le funzioni attive fino al 2.2.2019 nella sua area riservata sul sito INVALSI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e al 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Manuale per il somministratore delle prove INVALSI CBT 2019 – grado 13 Pubblicato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sul sito Invalsi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il 26.2.2019</w:t>
            </w:r>
          </w:p>
          <w:p w:rsidR="008F6568" w:rsidRPr="00E2472B" w:rsidRDefault="008F6568" w:rsidP="008F65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934D0B" w:rsidRDefault="00934D0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707BA4" w:rsidRPr="00AC06B9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0"/>
          <w:szCs w:val="22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50"/>
      </w:tblGrid>
      <w:tr w:rsidR="00707BA4" w:rsidTr="00934D0B">
        <w:tc>
          <w:tcPr>
            <w:tcW w:w="9778" w:type="dxa"/>
            <w:gridSpan w:val="2"/>
            <w:shd w:val="clear" w:color="auto" w:fill="BFBFBF" w:themeFill="background1" w:themeFillShade="BF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INDICAZIONI PER LE PROVE D’ESAME</w:t>
            </w:r>
            <w:r w:rsidR="00934D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r w:rsidR="00093DB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 </w:t>
            </w:r>
            <w:r w:rsidR="00934D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RICHIESTE ALLA COMMISSIONE</w:t>
            </w:r>
          </w:p>
        </w:tc>
      </w:tr>
      <w:tr w:rsidR="00F77E67" w:rsidRPr="00F77E67" w:rsidTr="00F77E67">
        <w:tc>
          <w:tcPr>
            <w:tcW w:w="9778" w:type="dxa"/>
            <w:gridSpan w:val="2"/>
            <w:shd w:val="clear" w:color="auto" w:fill="F2F2F2" w:themeFill="background1" w:themeFillShade="F2"/>
          </w:tcPr>
          <w:p w:rsidR="00F77E67" w:rsidRDefault="00F77E67" w:rsidP="00093D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Guida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: indicare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per ogni prova, 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la tipologia,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strategie,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modalità e 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gli strumenti utilizzati du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rante l’anno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,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esplicitati nel </w:t>
            </w:r>
            <w:r w:rsidR="009B0041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PDP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</w:p>
          <w:p w:rsidR="005242E0" w:rsidRPr="00F77E67" w:rsidRDefault="00F77E67" w:rsidP="005242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in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ottemperanza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a quanto stabilito 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dalle normative vigenti.</w:t>
            </w:r>
            <w:r w:rsidR="006A5FE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indicazioni rappresen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tano le richieste da fare alla C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ommissione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d’esame</w:t>
            </w:r>
          </w:p>
        </w:tc>
      </w:tr>
      <w:tr w:rsidR="006A5FE6" w:rsidRPr="00EF6A64" w:rsidTr="00EF6A64">
        <w:trPr>
          <w:trHeight w:val="404"/>
        </w:trPr>
        <w:tc>
          <w:tcPr>
            <w:tcW w:w="9778" w:type="dxa"/>
            <w:gridSpan w:val="2"/>
            <w:shd w:val="clear" w:color="auto" w:fill="F2F2F2" w:themeFill="background1" w:themeFillShade="F2"/>
          </w:tcPr>
          <w:p w:rsidR="009E7DA7" w:rsidRPr="00EF6A64" w:rsidRDefault="006A5FE6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</w:pP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Il Consiglio di Classe in conformità a quanto indicato nel </w:t>
            </w:r>
            <w:r w:rsidR="009B0041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PDP</w:t>
            </w: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 e a quanto svolto durante l’anno nelle verifiche scritte, orali e nelle simulazione delle prove d’esame</w:t>
            </w:r>
            <w:r w:rsidR="00A57D16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,</w:t>
            </w: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 chiede per l’espletamento delle prove d’e</w:t>
            </w:r>
            <w:r w:rsidR="001F21EA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same quanto di seguito indicato ai sensi dell’art. 2</w:t>
            </w:r>
            <w:r w:rsidR="009B0041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1</w:t>
            </w:r>
            <w:r w:rsidR="001F21EA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 dell’Ordinanza Ministeriale n. 205/2019</w:t>
            </w:r>
            <w:r w:rsidR="009E7DA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.</w:t>
            </w:r>
          </w:p>
        </w:tc>
      </w:tr>
      <w:tr w:rsidR="001F21EA" w:rsidRPr="001F21EA" w:rsidTr="001F21EA">
        <w:trPr>
          <w:trHeight w:val="310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21EA" w:rsidRPr="00123BF3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  <w:p w:rsidR="001F21EA" w:rsidRPr="001F21EA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1F21EA">
              <w:rPr>
                <w:rFonts w:ascii="Arial" w:eastAsia="Arial" w:hAnsi="Arial" w:cs="Arial"/>
                <w:b/>
              </w:rPr>
              <w:t>I PROVA – Italiano</w:t>
            </w:r>
          </w:p>
          <w:p w:rsidR="001F21EA" w:rsidRPr="00123BF3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0"/>
              </w:rPr>
            </w:pPr>
          </w:p>
        </w:tc>
      </w:tr>
      <w:tr w:rsidR="00150EC8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svolgimento della prova</w:t>
            </w:r>
          </w:p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958D4" w:rsidRDefault="00A958D4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EC8" w:rsidRDefault="00150EC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50EC8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1F21EA">
              <w:rPr>
                <w:rFonts w:ascii="Arial" w:eastAsia="Arial" w:hAnsi="Arial" w:cs="Arial"/>
                <w:i/>
                <w:color w:val="000000"/>
              </w:rPr>
              <w:t>(indicare quali)</w:t>
            </w:r>
          </w:p>
          <w:p w:rsidR="00123BF3" w:rsidRPr="000A0A24" w:rsidRDefault="00150EC8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0A0A24">
              <w:rPr>
                <w:rFonts w:ascii="Arial" w:hAnsi="Arial" w:cs="Arial"/>
                <w:sz w:val="16"/>
                <w:szCs w:val="24"/>
              </w:rPr>
              <w:t>Tempi più lunghi di quelli ordinari</w:t>
            </w:r>
            <w:r w:rsidR="00123BF3" w:rsidRPr="000A0A24">
              <w:rPr>
                <w:rFonts w:ascii="Arial" w:hAnsi="Arial" w:cs="Arial"/>
                <w:sz w:val="16"/>
                <w:szCs w:val="24"/>
              </w:rPr>
              <w:t>.</w:t>
            </w:r>
          </w:p>
          <w:p w:rsidR="00150EC8" w:rsidRPr="000A0A24" w:rsidRDefault="00150EC8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0A0A24">
              <w:rPr>
                <w:rFonts w:ascii="Arial" w:hAnsi="Arial" w:cs="Arial"/>
                <w:sz w:val="16"/>
                <w:szCs w:val="24"/>
              </w:rPr>
              <w:t>Strumenti compensativi previsti dal piano didattico personalizzato e che siano già stati impiegati per le verifiche in corso d'anno.</w:t>
            </w:r>
          </w:p>
          <w:p w:rsidR="00123BF3" w:rsidRPr="00150EC8" w:rsidRDefault="00150EC8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0A0A24">
              <w:rPr>
                <w:rFonts w:ascii="Arial" w:hAnsi="Arial" w:cs="Arial"/>
                <w:sz w:val="16"/>
                <w:szCs w:val="24"/>
              </w:rPr>
              <w:t>Strumenti comunque ritenuti funzionali allo svolgimento</w:t>
            </w:r>
            <w:r w:rsidR="00500E0B" w:rsidRPr="000A0A24">
              <w:rPr>
                <w:rFonts w:ascii="Arial" w:hAnsi="Arial" w:cs="Arial"/>
                <w:sz w:val="16"/>
                <w:szCs w:val="24"/>
              </w:rPr>
              <w:t xml:space="preserve"> d</w:t>
            </w:r>
            <w:r w:rsidRPr="000A0A24">
              <w:rPr>
                <w:rFonts w:ascii="Arial" w:hAnsi="Arial" w:cs="Arial"/>
                <w:sz w:val="16"/>
                <w:szCs w:val="24"/>
              </w:rPr>
              <w:t>ell'esame.</w:t>
            </w:r>
            <w:r w:rsidRPr="000A0A2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500E0B" w:rsidRPr="000A0A2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123BF3" w:rsidRPr="000A0A24">
              <w:rPr>
                <w:rFonts w:ascii="Arial" w:hAnsi="Arial" w:cs="Arial"/>
                <w:sz w:val="16"/>
                <w:szCs w:val="24"/>
              </w:rPr>
              <w:t>Altro come da PDP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EC8" w:rsidRDefault="00150EC8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150EC8" w:rsidRDefault="00150EC8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150EC8" w:rsidRDefault="00150EC8" w:rsidP="00005BF3">
            <w:pPr>
              <w:pStyle w:val="Normale1"/>
              <w:rPr>
                <w:rFonts w:ascii="Arial" w:eastAsia="Arial" w:hAnsi="Arial" w:cs="Arial"/>
                <w:b/>
                <w:color w:val="000000"/>
              </w:rPr>
            </w:pPr>
          </w:p>
          <w:p w:rsidR="00150EC8" w:rsidRDefault="00150EC8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93DB3" w:rsidRPr="00B21D19" w:rsidTr="00123BF3">
        <w:trPr>
          <w:trHeight w:val="435"/>
        </w:trPr>
        <w:tc>
          <w:tcPr>
            <w:tcW w:w="9778" w:type="dxa"/>
            <w:gridSpan w:val="2"/>
          </w:tcPr>
          <w:p w:rsidR="00093DB3" w:rsidRDefault="005242E0" w:rsidP="00093D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9E7DA7" w:rsidRPr="00B21D19" w:rsidRDefault="009E7DA7" w:rsidP="005242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2E0" w:rsidRPr="001F21EA" w:rsidTr="00613ECD">
        <w:trPr>
          <w:trHeight w:val="310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42E0" w:rsidRPr="00123BF3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0"/>
              </w:rPr>
            </w:pPr>
          </w:p>
          <w:p w:rsidR="005242E0" w:rsidRPr="001F21EA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 w:rsidRPr="001F21EA">
              <w:rPr>
                <w:rFonts w:ascii="Arial" w:eastAsia="Arial" w:hAnsi="Arial" w:cs="Arial"/>
                <w:b/>
              </w:rPr>
              <w:t xml:space="preserve">I PROVA – </w:t>
            </w:r>
            <w:r>
              <w:rPr>
                <w:rFonts w:ascii="Arial" w:eastAsia="Arial" w:hAnsi="Arial" w:cs="Arial"/>
                <w:b/>
              </w:rPr>
              <w:t>prova di indirizzo</w:t>
            </w:r>
          </w:p>
          <w:p w:rsidR="005242E0" w:rsidRPr="00123BF3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</w:tc>
      </w:tr>
      <w:tr w:rsidR="00816C9A" w:rsidRPr="00B21D19" w:rsidTr="00A958D4">
        <w:trPr>
          <w:trHeight w:val="751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svolgimento della prova</w:t>
            </w:r>
          </w:p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</w:tcPr>
          <w:p w:rsidR="00816C9A" w:rsidRDefault="00816C9A" w:rsidP="009E7DA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16C9A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816C9A" w:rsidRDefault="00816C9A" w:rsidP="007F49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1F21EA">
              <w:rPr>
                <w:rFonts w:ascii="Arial" w:eastAsia="Arial" w:hAnsi="Arial" w:cs="Arial"/>
                <w:i/>
                <w:color w:val="000000"/>
              </w:rPr>
              <w:t>(indicare quali)</w:t>
            </w:r>
          </w:p>
          <w:p w:rsidR="00123BF3" w:rsidRPr="000A0A24" w:rsidRDefault="00816C9A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0A0A24">
              <w:rPr>
                <w:rFonts w:ascii="Arial" w:hAnsi="Arial" w:cs="Arial"/>
                <w:sz w:val="16"/>
                <w:szCs w:val="24"/>
              </w:rPr>
              <w:t>Tempi più lunghi di quelli ordinari</w:t>
            </w:r>
            <w:r w:rsidR="00123BF3" w:rsidRPr="000A0A24">
              <w:rPr>
                <w:rFonts w:ascii="Arial" w:hAnsi="Arial" w:cs="Arial"/>
                <w:sz w:val="16"/>
                <w:szCs w:val="24"/>
              </w:rPr>
              <w:t>.</w:t>
            </w:r>
          </w:p>
          <w:p w:rsidR="00816C9A" w:rsidRPr="000A0A24" w:rsidRDefault="00816C9A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0A0A24">
              <w:rPr>
                <w:rFonts w:ascii="Arial" w:hAnsi="Arial" w:cs="Arial"/>
                <w:sz w:val="16"/>
                <w:szCs w:val="24"/>
              </w:rPr>
              <w:t>Strumenti compensativi previsti dal piano didattico personalizzato e che siano già stati impiegati per le verifiche in corso d'anno.</w:t>
            </w:r>
          </w:p>
          <w:p w:rsidR="00123BF3" w:rsidRPr="00150EC8" w:rsidRDefault="00816C9A" w:rsidP="000A0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0A0A24">
              <w:rPr>
                <w:rFonts w:ascii="Arial" w:hAnsi="Arial" w:cs="Arial"/>
                <w:sz w:val="16"/>
                <w:szCs w:val="24"/>
              </w:rPr>
              <w:t xml:space="preserve">Strumenti comunque ritenuti funzionali allo svolgimento </w:t>
            </w:r>
            <w:r w:rsidR="00500E0B" w:rsidRPr="000A0A24">
              <w:rPr>
                <w:rFonts w:ascii="Arial" w:hAnsi="Arial" w:cs="Arial"/>
                <w:sz w:val="16"/>
                <w:szCs w:val="24"/>
              </w:rPr>
              <w:t>d</w:t>
            </w:r>
            <w:r w:rsidRPr="000A0A24">
              <w:rPr>
                <w:rFonts w:ascii="Arial" w:hAnsi="Arial" w:cs="Arial"/>
                <w:sz w:val="16"/>
                <w:szCs w:val="24"/>
              </w:rPr>
              <w:t>ell'esame.</w:t>
            </w:r>
            <w:r w:rsidRPr="000A0A2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123BF3" w:rsidRPr="000A0A24">
              <w:rPr>
                <w:rFonts w:ascii="Arial" w:hAnsi="Arial" w:cs="Arial"/>
                <w:sz w:val="16"/>
                <w:szCs w:val="24"/>
              </w:rPr>
              <w:t>Altro come da PDP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9A" w:rsidRDefault="00816C9A" w:rsidP="00613ECD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816C9A" w:rsidRDefault="00816C9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816C9A" w:rsidRDefault="00816C9A" w:rsidP="00BC65AD">
            <w:pPr>
              <w:pStyle w:val="Normale1"/>
              <w:rPr>
                <w:rFonts w:ascii="Arial" w:eastAsia="Arial" w:hAnsi="Arial" w:cs="Arial"/>
                <w:b/>
                <w:color w:val="000000"/>
              </w:rPr>
            </w:pPr>
          </w:p>
          <w:p w:rsidR="00816C9A" w:rsidRDefault="00816C9A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71250" w:rsidRPr="00B21D19" w:rsidTr="00123BF3">
        <w:trPr>
          <w:trHeight w:val="262"/>
        </w:trPr>
        <w:tc>
          <w:tcPr>
            <w:tcW w:w="9778" w:type="dxa"/>
            <w:gridSpan w:val="2"/>
          </w:tcPr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AC06B9" w:rsidRPr="00B21D19" w:rsidRDefault="00AC06B9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42E0" w:rsidRPr="001F21EA" w:rsidTr="00613ECD">
        <w:trPr>
          <w:trHeight w:val="310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1250" w:rsidRPr="00123BF3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  <w:p w:rsidR="005242E0" w:rsidRPr="001F21EA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COLLOQUIO</w:t>
            </w:r>
            <w:r w:rsidRPr="001F21EA">
              <w:rPr>
                <w:rFonts w:ascii="Arial" w:eastAsia="Arial" w:hAnsi="Arial" w:cs="Arial"/>
                <w:b/>
              </w:rPr>
              <w:t xml:space="preserve"> </w:t>
            </w:r>
          </w:p>
          <w:p w:rsidR="005242E0" w:rsidRPr="00123BF3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8"/>
              </w:rPr>
            </w:pPr>
          </w:p>
        </w:tc>
      </w:tr>
      <w:tr w:rsidR="00B71250" w:rsidRPr="00B21D19" w:rsidTr="00123BF3">
        <w:trPr>
          <w:trHeight w:val="38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Default="000A0A24" w:rsidP="004C502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 buste</w:t>
            </w:r>
            <w:r w:rsidR="008C0CC9">
              <w:rPr>
                <w:rFonts w:ascii="Arial" w:eastAsia="Arial" w:hAnsi="Arial" w:cs="Arial"/>
                <w:b/>
                <w:color w:val="000000"/>
              </w:rPr>
              <w:t xml:space="preserve"> (tre)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conterranno 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la seguente tipologia di documentazione </w:t>
            </w:r>
            <w:r>
              <w:rPr>
                <w:rFonts w:ascii="Arial" w:eastAsia="Arial" w:hAnsi="Arial" w:cs="Arial"/>
                <w:b/>
                <w:color w:val="000000"/>
              </w:rPr>
              <w:t>proposta.</w:t>
            </w:r>
          </w:p>
          <w:p w:rsidR="00816C9A" w:rsidRPr="007E039A" w:rsidRDefault="004C5022" w:rsidP="00816C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7E039A">
              <w:rPr>
                <w:rFonts w:ascii="Arial" w:eastAsia="Arial" w:hAnsi="Arial" w:cs="Arial"/>
                <w:color w:val="000000"/>
                <w:sz w:val="16"/>
              </w:rPr>
              <w:t>E</w:t>
            </w:r>
            <w:r w:rsidR="00B71250" w:rsidRPr="007E039A">
              <w:rPr>
                <w:rFonts w:ascii="Arial" w:eastAsia="Arial" w:hAnsi="Arial" w:cs="Arial"/>
                <w:color w:val="000000"/>
                <w:sz w:val="16"/>
              </w:rPr>
              <w:t>splicitare testi, documenti, esperienze, progetti</w:t>
            </w:r>
            <w:r w:rsidR="00816C9A" w:rsidRPr="007E039A">
              <w:rPr>
                <w:rFonts w:ascii="Arial" w:eastAsia="Arial" w:hAnsi="Arial" w:cs="Arial"/>
                <w:color w:val="000000"/>
                <w:sz w:val="16"/>
              </w:rPr>
              <w:t>, altro.</w:t>
            </w:r>
          </w:p>
          <w:p w:rsidR="00816C9A" w:rsidRPr="007E039A" w:rsidRDefault="00123BF3" w:rsidP="00816C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7E039A">
              <w:rPr>
                <w:rFonts w:ascii="Arial" w:eastAsia="Arial" w:hAnsi="Arial" w:cs="Arial"/>
                <w:color w:val="000000"/>
                <w:sz w:val="16"/>
              </w:rPr>
              <w:t>Indicare…</w:t>
            </w:r>
          </w:p>
          <w:p w:rsidR="004C5022" w:rsidRPr="00C158DB" w:rsidRDefault="004C5022" w:rsidP="00816C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50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Tipologia proposta</w:t>
            </w:r>
          </w:p>
        </w:tc>
      </w:tr>
      <w:tr w:rsidR="00B71250" w:rsidRPr="00B21D19" w:rsidTr="00123BF3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Pr="00C158DB" w:rsidRDefault="000A0A24" w:rsidP="00C158DB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 w:rsidR="004C5022" w:rsidRPr="00C158DB">
              <w:rPr>
                <w:rFonts w:ascii="Arial" w:eastAsia="Arial" w:hAnsi="Arial" w:cs="Arial"/>
                <w:b/>
                <w:color w:val="000000"/>
              </w:rPr>
              <w:t xml:space="preserve">l Percorso per le Competenze Trasversali e l’Orientamento </w:t>
            </w:r>
            <w:r w:rsidRPr="000A0A24">
              <w:rPr>
                <w:rFonts w:ascii="Arial" w:eastAsia="Arial" w:hAnsi="Arial" w:cs="Arial"/>
                <w:i/>
                <w:color w:val="000000"/>
              </w:rPr>
              <w:t>(Alternanza Scuola Lavoro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) </w:t>
            </w:r>
            <w:r w:rsidR="004C5022" w:rsidRPr="00C158DB">
              <w:rPr>
                <w:rFonts w:ascii="Arial" w:eastAsia="Arial" w:hAnsi="Arial" w:cs="Arial"/>
                <w:b/>
                <w:color w:val="000000"/>
              </w:rPr>
              <w:t xml:space="preserve">sul quale lo studente </w:t>
            </w:r>
            <w:r w:rsidR="009E7DA7" w:rsidRPr="00C158DB">
              <w:rPr>
                <w:rFonts w:ascii="Arial" w:eastAsia="Arial" w:hAnsi="Arial" w:cs="Arial"/>
                <w:b/>
                <w:color w:val="000000"/>
              </w:rPr>
              <w:t>potrebbe</w:t>
            </w:r>
            <w:r w:rsidR="00C158DB" w:rsidRPr="00C158DB">
              <w:rPr>
                <w:rFonts w:ascii="Arial" w:eastAsia="Arial" w:hAnsi="Arial" w:cs="Arial"/>
                <w:b/>
                <w:color w:val="000000"/>
              </w:rPr>
              <w:t xml:space="preserve"> relazionare </w:t>
            </w:r>
            <w:r>
              <w:rPr>
                <w:rFonts w:ascii="Arial" w:eastAsia="Arial" w:hAnsi="Arial" w:cs="Arial"/>
                <w:b/>
                <w:color w:val="000000"/>
              </w:rPr>
              <w:t>è quello proposto.</w:t>
            </w:r>
          </w:p>
          <w:p w:rsidR="004C5022" w:rsidRPr="001F21EA" w:rsidRDefault="004C5022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50" w:rsidRDefault="000A0A24" w:rsidP="00613EC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Percorso proposto</w:t>
            </w:r>
          </w:p>
          <w:p w:rsidR="00B71250" w:rsidRDefault="00B71250" w:rsidP="00613ECD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5022" w:rsidRPr="00B21D19" w:rsidTr="00123BF3">
        <w:trPr>
          <w:trHeight w:val="34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Default="004C5022" w:rsidP="000A0A24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Il progetto afferente alle competenze di Cittadinanza e Costituzione che lo studente </w:t>
            </w:r>
            <w:r w:rsidR="009E7DA7">
              <w:rPr>
                <w:rFonts w:ascii="Arial" w:eastAsia="Arial" w:hAnsi="Arial" w:cs="Arial"/>
                <w:b/>
                <w:color w:val="000000"/>
              </w:rPr>
              <w:t xml:space="preserve">potrebbe </w:t>
            </w:r>
            <w:r w:rsidR="00C158DB">
              <w:rPr>
                <w:rFonts w:ascii="Arial" w:eastAsia="Arial" w:hAnsi="Arial" w:cs="Arial"/>
                <w:b/>
                <w:color w:val="000000"/>
              </w:rPr>
              <w:t xml:space="preserve">relazionare </w:t>
            </w:r>
            <w:r w:rsidR="000A0A24">
              <w:rPr>
                <w:rFonts w:ascii="Arial" w:eastAsia="Arial" w:hAnsi="Arial" w:cs="Arial"/>
                <w:b/>
                <w:color w:val="000000"/>
              </w:rPr>
              <w:t>è quello proposto.</w:t>
            </w:r>
          </w:p>
          <w:p w:rsidR="000A0A24" w:rsidRPr="004C5022" w:rsidRDefault="000A0A24" w:rsidP="000A0A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</w:tcPr>
          <w:p w:rsidR="004C5022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Progetto proposto</w:t>
            </w:r>
          </w:p>
        </w:tc>
      </w:tr>
      <w:tr w:rsidR="004C5022" w:rsidRPr="00B21D19" w:rsidTr="00123BF3">
        <w:trPr>
          <w:trHeight w:val="34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5022" w:rsidRDefault="004C5022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4C5022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0A0A24">
              <w:rPr>
                <w:rFonts w:ascii="Arial" w:eastAsia="Arial" w:hAnsi="Arial" w:cs="Arial"/>
                <w:i/>
                <w:color w:val="000000"/>
              </w:rPr>
              <w:t xml:space="preserve">(indicare gli strumenti compensativi a corredo delle </w:t>
            </w:r>
            <w:r w:rsidR="0050522C" w:rsidRPr="000A0A24">
              <w:rPr>
                <w:rFonts w:ascii="Arial" w:eastAsia="Arial" w:hAnsi="Arial" w:cs="Arial"/>
                <w:i/>
                <w:color w:val="000000"/>
              </w:rPr>
              <w:t xml:space="preserve"> buste</w:t>
            </w:r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:rsidR="000A0A24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:rsidR="000A0A24" w:rsidRPr="000A0A24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C5022" w:rsidRDefault="004C5022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42E0" w:rsidRPr="00B21D19" w:rsidTr="00123BF3">
        <w:trPr>
          <w:trHeight w:val="873"/>
        </w:trPr>
        <w:tc>
          <w:tcPr>
            <w:tcW w:w="9778" w:type="dxa"/>
            <w:gridSpan w:val="2"/>
          </w:tcPr>
          <w:p w:rsidR="005242E0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5242E0" w:rsidRPr="007E039A" w:rsidRDefault="004C502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7E039A">
              <w:rPr>
                <w:rFonts w:ascii="Arial" w:eastAsia="Arial" w:hAnsi="Arial" w:cs="Arial"/>
                <w:color w:val="000000"/>
                <w:sz w:val="18"/>
              </w:rPr>
              <w:t>(</w:t>
            </w:r>
            <w:r w:rsidRPr="007E039A">
              <w:rPr>
                <w:rFonts w:ascii="Arial" w:eastAsia="Arial" w:hAnsi="Arial" w:cs="Arial"/>
                <w:i/>
                <w:color w:val="000000"/>
                <w:sz w:val="18"/>
              </w:rPr>
              <w:t>Il consiglio di classe, qualora sia necessario, può indicare anche l’ordine di espletamento delle fasi del colloquio, al fine di mettere lo studente nelle migliori condizioni di</w:t>
            </w:r>
            <w:r w:rsidRPr="007E039A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9E7DA7" w:rsidRPr="007E039A">
              <w:rPr>
                <w:rFonts w:ascii="Arial" w:eastAsia="Arial" w:hAnsi="Arial" w:cs="Arial"/>
                <w:i/>
                <w:color w:val="000000"/>
                <w:sz w:val="18"/>
              </w:rPr>
              <w:t>espletamento della pr</w:t>
            </w:r>
            <w:r w:rsidR="009E7DA7" w:rsidRPr="007E039A">
              <w:rPr>
                <w:rFonts w:ascii="Arial" w:eastAsia="Arial" w:hAnsi="Arial" w:cs="Arial"/>
                <w:color w:val="000000"/>
                <w:sz w:val="18"/>
              </w:rPr>
              <w:t>ova).</w:t>
            </w:r>
          </w:p>
          <w:p w:rsidR="007E039A" w:rsidRDefault="007E039A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0A24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A0A24" w:rsidRPr="00B21D19" w:rsidRDefault="000A0A24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A0A24" w:rsidRDefault="000A0A24">
      <w:r>
        <w:br w:type="page"/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7DA7" w:rsidRPr="001F21EA" w:rsidTr="009E7DA7">
        <w:trPr>
          <w:trHeight w:val="310"/>
        </w:trPr>
        <w:tc>
          <w:tcPr>
            <w:tcW w:w="9778" w:type="dxa"/>
            <w:shd w:val="clear" w:color="auto" w:fill="BFBFBF" w:themeFill="background1" w:themeFillShade="BF"/>
          </w:tcPr>
          <w:p w:rsidR="009E7DA7" w:rsidRPr="001F21EA" w:rsidRDefault="009E7DA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VALUTAZIONE DELLE PROVE</w:t>
            </w:r>
          </w:p>
          <w:p w:rsidR="009E7DA7" w:rsidRPr="001F21EA" w:rsidRDefault="00C5648F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coerenza con il P</w:t>
            </w:r>
            <w:r w:rsidR="00123BF3">
              <w:rPr>
                <w:rFonts w:ascii="Arial" w:eastAsia="Arial" w:hAnsi="Arial" w:cs="Arial"/>
                <w:b/>
              </w:rPr>
              <w:t>dP</w:t>
            </w:r>
            <w:r w:rsidR="009E7DA7">
              <w:rPr>
                <w:rFonts w:ascii="Arial" w:eastAsia="Arial" w:hAnsi="Arial" w:cs="Arial"/>
                <w:b/>
              </w:rPr>
              <w:t>, con il percorso formativo effettuato e con la normativa vigente.</w:t>
            </w:r>
          </w:p>
        </w:tc>
      </w:tr>
      <w:tr w:rsidR="009E7DA7" w:rsidRPr="001F21EA" w:rsidTr="009E7DA7">
        <w:trPr>
          <w:trHeight w:val="310"/>
        </w:trPr>
        <w:tc>
          <w:tcPr>
            <w:tcW w:w="9778" w:type="dxa"/>
            <w:shd w:val="clear" w:color="auto" w:fill="F2F2F2" w:themeFill="background1" w:themeFillShade="F2"/>
          </w:tcPr>
          <w:p w:rsidR="009E7DA7" w:rsidRDefault="009E7DA7" w:rsidP="00123B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 </w:t>
            </w:r>
            <w:r w:rsidRPr="009E7DA7">
              <w:rPr>
                <w:rFonts w:ascii="Arial" w:eastAsia="Arial" w:hAnsi="Arial" w:cs="Arial"/>
                <w:b/>
              </w:rPr>
              <w:t xml:space="preserve">la correzione delle prove d'esame, la </w:t>
            </w:r>
            <w:r w:rsidR="00123BF3">
              <w:rPr>
                <w:rFonts w:ascii="Arial" w:eastAsia="Arial" w:hAnsi="Arial" w:cs="Arial"/>
                <w:b/>
              </w:rPr>
              <w:t>commissione fa riferimento a quanto indicato nel Pdp e alle</w:t>
            </w:r>
            <w:r w:rsidRPr="009E7DA7">
              <w:rPr>
                <w:rFonts w:ascii="Arial" w:eastAsia="Arial" w:hAnsi="Arial" w:cs="Arial"/>
                <w:b/>
              </w:rPr>
              <w:t xml:space="preserve"> griglie di valutazione </w:t>
            </w:r>
            <w:r w:rsidR="00123BF3">
              <w:rPr>
                <w:rFonts w:ascii="Arial" w:eastAsia="Arial" w:hAnsi="Arial" w:cs="Arial"/>
                <w:b/>
              </w:rPr>
              <w:t>utilizzate</w:t>
            </w:r>
            <w:r w:rsidR="008F6568">
              <w:rPr>
                <w:rFonts w:ascii="Arial" w:eastAsia="Arial" w:hAnsi="Arial" w:cs="Arial"/>
                <w:b/>
              </w:rPr>
              <w:t xml:space="preserve"> </w:t>
            </w:r>
            <w:r w:rsidR="00CE0D7D">
              <w:rPr>
                <w:rFonts w:ascii="Arial" w:eastAsia="Arial" w:hAnsi="Arial" w:cs="Arial"/>
                <w:b/>
              </w:rPr>
              <w:t>nelle fasi di simulazione delle prove di esame.</w:t>
            </w:r>
          </w:p>
        </w:tc>
      </w:tr>
    </w:tbl>
    <w:p w:rsidR="007E039A" w:rsidRDefault="007E039A"/>
    <w:p w:rsidR="00123BF3" w:rsidRDefault="00123BF3"/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05"/>
        <w:gridCol w:w="3755"/>
      </w:tblGrid>
      <w:tr w:rsidR="00707BA4" w:rsidRPr="00EF4468" w:rsidTr="00EF4468">
        <w:tc>
          <w:tcPr>
            <w:tcW w:w="9778" w:type="dxa"/>
            <w:gridSpan w:val="3"/>
            <w:shd w:val="clear" w:color="auto" w:fill="BFBFBF" w:themeFill="background1" w:themeFillShade="BF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>REDATTORI DELLA RELAZIONE DI PRESENTAZIONE AGLI ESAMI DI STATO</w:t>
            </w:r>
          </w:p>
        </w:tc>
      </w:tr>
      <w:tr w:rsidR="00707BA4" w:rsidRPr="00EF4468" w:rsidTr="00EF4468">
        <w:tc>
          <w:tcPr>
            <w:tcW w:w="2518" w:type="dxa"/>
            <w:shd w:val="clear" w:color="auto" w:fill="F2F2F2" w:themeFill="background1" w:themeFillShade="F2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 xml:space="preserve">Qualifica 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>Nome e Cognome</w:t>
            </w:r>
          </w:p>
        </w:tc>
        <w:tc>
          <w:tcPr>
            <w:tcW w:w="3755" w:type="dxa"/>
            <w:shd w:val="clear" w:color="auto" w:fill="F2F2F2" w:themeFill="background1" w:themeFillShade="F2"/>
          </w:tcPr>
          <w:p w:rsidR="00707BA4" w:rsidRPr="00EF4468" w:rsidRDefault="005D1B98" w:rsidP="00EF44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EF4468"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Pr="004A1883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4A1883">
              <w:rPr>
                <w:rFonts w:ascii="Arial" w:eastAsia="Arial" w:hAnsi="Arial" w:cs="Arial"/>
                <w:b/>
                <w:color w:val="000000"/>
              </w:rPr>
              <w:t>Dirigente Scolastico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shd w:val="clear" w:color="auto" w:fill="F2F2F2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Luogo e Data</w:t>
            </w:r>
          </w:p>
        </w:tc>
        <w:tc>
          <w:tcPr>
            <w:tcW w:w="7260" w:type="dxa"/>
            <w:gridSpan w:val="2"/>
            <w:shd w:val="clear" w:color="auto" w:fill="F2F2F2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E39E4" w:rsidRDefault="007E39E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4F0360" w:rsidRPr="00E2694A" w:rsidTr="007F4983">
        <w:tc>
          <w:tcPr>
            <w:tcW w:w="10345" w:type="dxa"/>
            <w:shd w:val="clear" w:color="auto" w:fill="A6A6A6" w:themeFill="background1" w:themeFillShade="A6"/>
          </w:tcPr>
          <w:p w:rsidR="004F0360" w:rsidRDefault="004F0360" w:rsidP="007F4983">
            <w:pPr>
              <w:pStyle w:val="Normale1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2694A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Appendice normativa </w:t>
            </w:r>
          </w:p>
          <w:p w:rsidR="004F0360" w:rsidRPr="00E2694A" w:rsidRDefault="004F0360" w:rsidP="007F4983">
            <w:pPr>
              <w:pStyle w:val="Normale1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0360" w:rsidRPr="00E2694A" w:rsidTr="007F4983">
        <w:tc>
          <w:tcPr>
            <w:tcW w:w="10345" w:type="dxa"/>
            <w:shd w:val="clear" w:color="auto" w:fill="D9D9D9" w:themeFill="background1" w:themeFillShade="D9"/>
          </w:tcPr>
          <w:p w:rsidR="004F0360" w:rsidRPr="00E2694A" w:rsidRDefault="004F0360" w:rsidP="007F4983">
            <w:pPr>
              <w:pStyle w:val="Normale1"/>
              <w:rPr>
                <w:rFonts w:ascii="Arial" w:eastAsia="Arial" w:hAnsi="Arial" w:cs="Arial"/>
                <w:color w:val="000000"/>
              </w:rPr>
            </w:pPr>
            <w:r w:rsidRPr="00E2694A">
              <w:rPr>
                <w:rFonts w:ascii="Arial" w:eastAsia="Arial" w:hAnsi="Arial" w:cs="Arial"/>
                <w:color w:val="000000"/>
              </w:rPr>
              <w:t>Riepilogo dei commi di interesse dell’O.M. 205/2019</w:t>
            </w:r>
          </w:p>
        </w:tc>
      </w:tr>
      <w:tr w:rsidR="004F0360" w:rsidRPr="00E2694A" w:rsidTr="007F4983">
        <w:tc>
          <w:tcPr>
            <w:tcW w:w="10345" w:type="dxa"/>
            <w:shd w:val="clear" w:color="auto" w:fill="FFFFFF" w:themeFill="background1"/>
          </w:tcPr>
          <w:p w:rsidR="004F0360" w:rsidRDefault="004F0360" w:rsidP="007F49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Arti. 2 comma 4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  <w:p w:rsidR="004F0360" w:rsidRDefault="004F0360" w:rsidP="004F0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4F0360">
              <w:rPr>
                <w:rFonts w:ascii="Arial Narrow" w:hAnsi="Arial Narrow" w:cs="Times New Roman"/>
                <w:sz w:val="22"/>
                <w:szCs w:val="22"/>
              </w:rPr>
              <w:t>Ai sensi dell'articolo 20 del d.lgs. n. 62 del 2017 gli studenti con disturbo specifico di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apprendimento (D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>S</w:t>
            </w:r>
            <w:r>
              <w:rPr>
                <w:rFonts w:ascii="Arial Narrow" w:hAnsi="Arial Narrow" w:cs="Times New Roman"/>
                <w:sz w:val="22"/>
                <w:szCs w:val="22"/>
              </w:rPr>
              <w:t>A), certificato ai sensi della L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>. n</w:t>
            </w:r>
            <w:r>
              <w:rPr>
                <w:rFonts w:ascii="Arial Narrow" w:hAnsi="Arial Narrow" w:cs="Times New Roman"/>
                <w:sz w:val="22"/>
                <w:szCs w:val="22"/>
              </w:rPr>
              <w:t>. 1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 xml:space="preserve">70 del 2010, </w:t>
            </w:r>
            <w:r w:rsidRPr="004F0360">
              <w:rPr>
                <w:rFonts w:ascii="Arial Narrow" w:hAnsi="Arial Narrow" w:cs="Times New Roman"/>
                <w:b/>
                <w:sz w:val="22"/>
                <w:szCs w:val="22"/>
              </w:rPr>
              <w:t>sono ammessi a sostenere l'esame di Stato conclusivo del secondo ciclo di istruzione secondo quanto disposto dall'art. 13 del d.lgs. 62 del 2017, sulla base del piano didattico personalizzato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  <w:p w:rsidR="004F0360" w:rsidRPr="004F0360" w:rsidRDefault="004F0360" w:rsidP="004F0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4F0360">
              <w:rPr>
                <w:rFonts w:ascii="Arial Narrow" w:hAnsi="Arial Narrow" w:cs="Times New Roman"/>
                <w:b/>
                <w:sz w:val="22"/>
                <w:szCs w:val="22"/>
              </w:rPr>
              <w:t>La commissione d'esame, considerati gli elementi fomiti dal consiglio di classe, tiene in debita considerazione le specifiche situazioni soggettive adeguatamente certificate e, in particolare, le modalità didattiche e le forme di valutazione individuate nell'ambito dei percorsi didattici individualizzati e personalizzati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>. Nello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 xml:space="preserve">svolgimento delle prove scritte, </w:t>
            </w:r>
            <w:r w:rsidRPr="004F0360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 candidati con DSA possono 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>utilizzare tempi più lunghi di quelli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 xml:space="preserve">ordinari per l'effettuazione delle prove scritte e </w:t>
            </w:r>
            <w:r w:rsidRPr="004F0360">
              <w:rPr>
                <w:rFonts w:ascii="Arial Narrow" w:hAnsi="Arial Narrow" w:cs="Times New Roman"/>
                <w:b/>
                <w:sz w:val="22"/>
                <w:szCs w:val="22"/>
              </w:rPr>
              <w:t>utilizzare gli strumenti compensativi previsti dal piano didattico personalizzato e che siano già stati impiegati per le verifiche in corso d'anno o comunque siano ritenuti funzionali allo svolgimento dell'esame, senza che venga pregiudicata la validità delle prove scritte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>. Nel diploma non viene fatta menzione dell'impiego degli strumenti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F0360">
              <w:rPr>
                <w:rFonts w:ascii="Arial Narrow" w:hAnsi="Arial Narrow" w:cs="Times New Roman"/>
                <w:sz w:val="22"/>
                <w:szCs w:val="22"/>
              </w:rPr>
              <w:t>compensativi.</w:t>
            </w:r>
          </w:p>
          <w:p w:rsidR="004F0360" w:rsidRPr="003753D6" w:rsidRDefault="004F0360" w:rsidP="007F49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</w:p>
          <w:p w:rsidR="003C233B" w:rsidRDefault="004F0360" w:rsidP="003C23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753D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Art. 2</w:t>
            </w:r>
            <w:r w:rsidR="00EC073F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C233B" w:rsidRPr="003C233B">
              <w:rPr>
                <w:rFonts w:ascii="Arial Narrow" w:hAnsi="Arial Narrow" w:cs="Times New Roman"/>
                <w:b/>
                <w:sz w:val="22"/>
                <w:szCs w:val="22"/>
              </w:rPr>
              <w:t>Comma 1</w:t>
            </w:r>
            <w:r w:rsidR="003C233B" w:rsidRPr="003C233B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  <w:p w:rsidR="003C233B" w:rsidRPr="003C233B" w:rsidRDefault="003C233B" w:rsidP="003C23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Gli studenti con disturbo specifico di apprendimento (DSA), certificato ai sensi della 1. n. 170 del 2010, sono ammessi a sostenere l'esame di Stato conclusivo del secondo ciclo di istruzione secondo quanto disposto dal precedente articolo 2, sulla base del piano didattico personalizzato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3C233B" w:rsidRPr="0042696D" w:rsidRDefault="003C233B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2696D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Comma 2. </w:t>
            </w:r>
          </w:p>
          <w:p w:rsidR="003C233B" w:rsidRDefault="003C233B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C233B">
              <w:rPr>
                <w:rFonts w:ascii="Arial Narrow" w:hAnsi="Arial Narrow" w:cs="Times New Roman"/>
                <w:sz w:val="22"/>
                <w:szCs w:val="22"/>
              </w:rPr>
              <w:t>La commissione d'esame, sulla base di quanto previsto dal d.m. n. 5669 del 2011, di attuazione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della legge 8 ottobre 2010, n. 170, nonché dalle Linee Guida allegate al citato provvedimento,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considerati gli elementi fomiti dal consiglio di classe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(PDP e la presente relazione)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, tiene in debita considerazione le specifiche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situazioni soggettive adeguatamente certificate e, in particolare, le modalità didattiche e le forme di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valutazione individuate nell'ambito dei percorsi didattici individualizzati e personalizzati. A tal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fine,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il consiglio di classe trasmette alla commissione d'esame il piano didattico personalizzato;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sulla base di tale documentazione e di tutti gli elementi fomiti dal consiglio di classe, la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commissione predispone adeguate modalità di svolgimento delle prove scritte e orali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. Nello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svolgimento delle prove scritte,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i candidati con DSA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possono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 utilizzare tempi più lunghi di quelli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ordinari per l'effettuazione delle prove scritte e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utilizzare gli strumenti compensativi previsti dal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piano didattico personalizzato e che siano già stati impiegati per le verifiche in corso d'anno o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comunque siano ritenuti funzionali allo svolgimento dell'esame, senza che venga pregiudicata la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validità delle prove scritte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. I candidati possono usufruire di dispositivi per l'ascolto dei testi della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prova registrati in formati "mp3".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Per la piena comprensione del testo delle prove scritte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la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commissione può prevedere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, in conformità con quanto indicato dal capitolo 4.3.1 delle Linee guida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citate,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di individuare un proprio componente che legga i testi delle prove scritte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. Per i candidati che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utilizzano la sintesi vocale, la commissione può provvedere alla trascrizione del testo su supporto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informatico. Sarà possibile inoltre prevedere alcune particolari attenzioni finalizzate a rendere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sereno per tali candidati lo svolgimento dell' esame sia al momento delle prove scritte, sia in fase di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colloquio. Gli studenti che sostengono con esito positivo l'esame di Stato alle condizioni di cui al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presente comma conseguono il diploma conclusivo del secondo ciclo di istruzione. Nel diploma non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viene fatta menzione dell'impiego degli strumenti compensativi.</w:t>
            </w:r>
          </w:p>
          <w:p w:rsidR="0042696D" w:rsidRPr="0042696D" w:rsidRDefault="0042696D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2696D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Comma 3 </w:t>
            </w:r>
          </w:p>
          <w:p w:rsidR="003C233B" w:rsidRDefault="003C233B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C233B">
              <w:rPr>
                <w:rFonts w:ascii="Arial Narrow" w:hAnsi="Arial Narrow" w:cs="Times New Roman"/>
                <w:sz w:val="22"/>
                <w:szCs w:val="22"/>
              </w:rPr>
              <w:t>I candidati con certificazione di DSA, che, ai sensi dell'articolo 6, co. 6, del d.m. n. 5669 del 12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luglio 2011 e dell'art. 20, co. 13, del d. 19s. 13 aprile 2017 n. 62, hanno seguito un percorso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didattico differenziato, con esonero dall'insegnamento della/e lingua/e straniera/e, e che sono stati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valutati dal consiglio di classe con l'attribuzione di voti e di un credito scolastico relativi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unicamente allo svolgimento di tale percorso, in sede di esame di Stato sostengono prove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differenziate, non equipollenti a quelle ordinarie, coerenti con il percorso svolto, finalizzate solo al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rilascio dell'attestato di credito formativo di cui all'art. 20, co. 5, del d.lgs. 62 del 2017. Per detti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candidati, il riferimento all' effettuazione delle prove differenziate è indicato solo nell'attestazione e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non nelle tabelle affisse all'albo dell'istituto.</w:t>
            </w:r>
          </w:p>
          <w:p w:rsidR="0042696D" w:rsidRPr="0042696D" w:rsidRDefault="0042696D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2696D">
              <w:rPr>
                <w:rFonts w:ascii="Arial Narrow" w:hAnsi="Arial Narrow" w:cs="Times New Roman"/>
                <w:b/>
                <w:sz w:val="22"/>
                <w:szCs w:val="22"/>
              </w:rPr>
              <w:t>Comma 4</w:t>
            </w:r>
          </w:p>
          <w:p w:rsidR="003C233B" w:rsidRPr="003C233B" w:rsidRDefault="003C233B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C233B">
              <w:rPr>
                <w:rFonts w:ascii="Arial Narrow" w:hAnsi="Arial Narrow" w:cs="Times New Roman"/>
                <w:sz w:val="22"/>
                <w:szCs w:val="22"/>
              </w:rPr>
              <w:t>Per i candidati con certificazione di DSA che, ai sensi dell'art. 6, co. 5, del d.m. n. 5669 del 12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luglio 20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>11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hanno seguito un percorso didattico ordinario, con la sola dispensa dalle prove scritte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ordinarie di lingua straniera, la commissione, nel caso in cui la lingua straniera sia oggetto di</w:t>
            </w:r>
            <w:r w:rsidR="0042696D" w:rsidRPr="00EC073F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seconda prova scritta, sottopone i candidati medesimi a prova orale sostitutiva della prova scritta.</w:t>
            </w:r>
          </w:p>
          <w:p w:rsidR="003C233B" w:rsidRPr="003C233B" w:rsidRDefault="003C233B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La commissione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, sulla base della documentazione fornita dal consiglio di classe, di cui al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precedente articolo 6, </w:t>
            </w: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stabilisce modalità e contenuti della prova orale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, che avrà luogo nel giorno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destinato allo svolgimento della seconda prova scritta, al termine della stessa, o in un giorno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successivo, purché compatibile con la pubblicazione del punteggio delle prove scritte e delle prove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orali sostitutive delle prove scritte nelle forme e nei tempi previsti nei precedenti articoli. Il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 xml:space="preserve">punteggio, in ventesimi,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lastRenderedPageBreak/>
              <w:t>viene attribuito dall'intera commissione a maggioranza, compreso il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presidente, secondo i criteri di conduzione e valutazione previamente stabiliti in apposita o apposite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riunioni e con l'osservanza della procedura di cui al precedente art. 18. Gli studenti che sostengono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con esito positivo l'esame di Stato alle condizioni cui al presente comma conseguono il diploma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conclusivo del secondo ciclo di istruzione. Nel diploma non viene fatta menzione della dispensa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dalla prova scritta di lingua straniera.</w:t>
            </w:r>
          </w:p>
          <w:p w:rsidR="0042696D" w:rsidRPr="00EC073F" w:rsidRDefault="0042696D" w:rsidP="003C23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073F">
              <w:rPr>
                <w:rFonts w:ascii="Arial Narrow" w:hAnsi="Arial Narrow" w:cs="Times New Roman"/>
                <w:b/>
                <w:sz w:val="22"/>
                <w:szCs w:val="22"/>
              </w:rPr>
              <w:t>Comma 5</w:t>
            </w:r>
          </w:p>
          <w:p w:rsidR="004F0360" w:rsidRPr="00E2694A" w:rsidRDefault="003C233B" w:rsidP="0042696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</w:rPr>
            </w:pPr>
            <w:r w:rsidRPr="003C233B">
              <w:rPr>
                <w:rFonts w:ascii="Arial Narrow" w:hAnsi="Arial Narrow" w:cs="Times New Roman"/>
                <w:sz w:val="22"/>
                <w:szCs w:val="22"/>
              </w:rPr>
              <w:t>Il colloquio dei candidati con certificazione di DSA si svolge nel rispetto di quanto previsto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dall'art. 20 del d.lgs. n. 62 del 2017. A ciascun candidato la commissione sottopone i materiali di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cui all'art. 19, comma 1, secondo periodo, predisposti in coerenza con il piano didattico</w:t>
            </w:r>
            <w:r w:rsidR="004269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C233B">
              <w:rPr>
                <w:rFonts w:ascii="Arial Narrow" w:hAnsi="Arial Narrow" w:cs="Times New Roman"/>
                <w:sz w:val="22"/>
                <w:szCs w:val="22"/>
              </w:rPr>
              <w:t>personalizzato, da cui prende avvio il colloquio.</w:t>
            </w:r>
          </w:p>
        </w:tc>
      </w:tr>
    </w:tbl>
    <w:p w:rsidR="007E39E4" w:rsidRDefault="007E39E4" w:rsidP="003C233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jc w:val="both"/>
        <w:rPr>
          <w:rFonts w:ascii="Arial Narrow" w:eastAsia="Arial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F038E" w:rsidRPr="00CA0A33" w:rsidTr="007F4983">
        <w:tc>
          <w:tcPr>
            <w:tcW w:w="10345" w:type="dxa"/>
            <w:shd w:val="clear" w:color="auto" w:fill="A6A6A6" w:themeFill="background1" w:themeFillShade="A6"/>
          </w:tcPr>
          <w:p w:rsidR="00DF038E" w:rsidRPr="00CA0A33" w:rsidRDefault="00DF038E" w:rsidP="007F4983">
            <w:pPr>
              <w:pStyle w:val="Normale1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CA0A33">
              <w:rPr>
                <w:rFonts w:ascii="Arial" w:eastAsia="Arial" w:hAnsi="Arial" w:cs="Arial"/>
                <w:bCs/>
                <w:color w:val="000000"/>
                <w:sz w:val="24"/>
              </w:rPr>
              <w:t>Altri riferimenti normativi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CA0A33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(in aggiunta all’OM 205/2019)</w:t>
            </w:r>
          </w:p>
        </w:tc>
      </w:tr>
      <w:tr w:rsidR="00DF038E" w:rsidTr="007F4983">
        <w:tc>
          <w:tcPr>
            <w:tcW w:w="10345" w:type="dxa"/>
          </w:tcPr>
          <w:p w:rsidR="00DF038E" w:rsidRPr="00277F0A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77F0A">
              <w:rPr>
                <w:rFonts w:ascii="Arial Narrow" w:hAnsi="Arial Narrow"/>
                <w:b/>
                <w:sz w:val="22"/>
                <w:szCs w:val="22"/>
              </w:rPr>
              <w:t>Nota Miur 562 del 03/04/2019</w:t>
            </w:r>
          </w:p>
        </w:tc>
      </w:tr>
      <w:tr w:rsidR="00DF038E" w:rsidRPr="00335C87" w:rsidTr="007F4983">
        <w:tc>
          <w:tcPr>
            <w:tcW w:w="10345" w:type="dxa"/>
          </w:tcPr>
          <w:p w:rsidR="00DF038E" w:rsidRPr="00335C87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35C87"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  <w:t>DM 183/2019 (Commissioni)</w:t>
            </w:r>
          </w:p>
        </w:tc>
      </w:tr>
      <w:tr w:rsidR="00DF038E" w:rsidRPr="00335C87" w:rsidTr="007F4983">
        <w:tc>
          <w:tcPr>
            <w:tcW w:w="10345" w:type="dxa"/>
          </w:tcPr>
          <w:p w:rsidR="00DF038E" w:rsidRPr="00335C87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35C87"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  <w:t>DM 37/2019 (Materie e colloquio</w:t>
            </w:r>
            <w:r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114BF8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1" w:tooltip="vai al Decreto del 26 novembre 2018 n. 769" w:history="1">
              <w:r w:rsidR="00DF038E" w:rsidRPr="00CA0A33">
                <w:rPr>
                  <w:rStyle w:val="Collegamentoipertestuale"/>
                  <w:rFonts w:ascii="Arial Narrow" w:hAnsi="Arial Narrow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Decreto del 26 novembre 2018 n. 769</w:t>
              </w:r>
            </w:hyperlink>
            <w:r w:rsidR="00DF038E" w:rsidRPr="00CA0A3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 ("Quadri di riferimento per la redazione e lo svolgimento delle prove scritte" e "Griglie di valutazione per l'attribuzione dei punteggi" per gli Esami di Stato del secondo ciclo di istruzione);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114BF8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2" w:tooltip="vai al Decreto legge 25 luglio 2018 n. 91" w:history="1">
              <w:r w:rsidR="00DF038E" w:rsidRPr="00CA0A33">
                <w:rPr>
                  <w:rStyle w:val="Collegamentoipertestuale"/>
                  <w:rFonts w:ascii="Arial Narrow" w:hAnsi="Arial Narrow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Decreto-legge 25 luglio 2018 n. 91</w:t>
              </w:r>
            </w:hyperlink>
            <w:r w:rsidR="00DF038E" w:rsidRPr="00CA0A3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 convertito con modificazioni dalla L. 21 settembre 2018, n. 108 art. 6 (Proroga di termini previsti da disposizioni legislative);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114BF8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3" w:tooltip="vai al Decreto Legislativo 13 aprile 2017 n. 66" w:history="1">
              <w:r w:rsidR="00DF038E" w:rsidRPr="00CA0A33">
                <w:rPr>
                  <w:rStyle w:val="Enfasigrassetto"/>
                  <w:rFonts w:ascii="Arial Narrow" w:hAnsi="Arial Narrow"/>
                  <w:sz w:val="22"/>
                  <w:szCs w:val="22"/>
                  <w:u w:val="single"/>
                </w:rPr>
                <w:t>Decreto Legislativo 13 aprile 2017 n. 66</w:t>
              </w:r>
            </w:hyperlink>
            <w:r w:rsidR="00DF038E" w:rsidRPr="00CA0A33">
              <w:rPr>
                <w:rFonts w:ascii="Arial Narrow" w:hAnsi="Arial Narrow"/>
                <w:sz w:val="22"/>
                <w:szCs w:val="22"/>
              </w:rPr>
              <w:t> (Norme per la promozione dell'inclusione scolastica degli studenti con disabilità, a norma dell'articolo 1, commi 180 e 181, lettera c), della legge 13 luglio 2015, n. 107);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114BF8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4" w:tooltip="vai al Decreto Legislativo 13 aprile 2017 n. 62" w:history="1">
              <w:r w:rsidR="00DF038E" w:rsidRPr="00CA0A33">
                <w:rPr>
                  <w:rStyle w:val="Enfasigrassetto"/>
                  <w:rFonts w:ascii="Arial Narrow" w:hAnsi="Arial Narrow"/>
                  <w:sz w:val="22"/>
                  <w:szCs w:val="22"/>
                  <w:u w:val="single"/>
                </w:rPr>
                <w:t>Decreto Legislativo 13 aprile 2017 n. 62</w:t>
              </w:r>
            </w:hyperlink>
            <w:r w:rsidR="00DF038E" w:rsidRPr="00CA0A33">
              <w:rPr>
                <w:rFonts w:ascii="Arial Narrow" w:hAnsi="Arial Narrow"/>
                <w:sz w:val="22"/>
                <w:szCs w:val="22"/>
              </w:rPr>
              <w:t> (Norme in materia di valutazione e certificazione delle competenze nel primo ciclo ed esami di Stato, a norma dell'articolo 1, commi 180 e 181, lettera i), della legge 13 luglio 2015, n. 107);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114BF8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5" w:tooltip="vai alla Legge 13 luglio 2015 n. 107" w:history="1">
              <w:r w:rsidR="00DF038E" w:rsidRPr="00CA0A33">
                <w:rPr>
                  <w:rStyle w:val="Enfasigrassetto"/>
                  <w:rFonts w:ascii="Arial Narrow" w:hAnsi="Arial Narrow"/>
                  <w:sz w:val="22"/>
                  <w:szCs w:val="22"/>
                  <w:u w:val="single"/>
                </w:rPr>
                <w:t>Legge 13 luglio 2015 n. 107</w:t>
              </w:r>
            </w:hyperlink>
            <w:r w:rsidR="00DF038E" w:rsidRPr="00CA0A33">
              <w:rPr>
                <w:rFonts w:ascii="Arial Narrow" w:hAnsi="Arial Narrow"/>
                <w:sz w:val="22"/>
                <w:szCs w:val="22"/>
              </w:rPr>
              <w:t> (Riforma del sistema nazionale di istruzione e formazione e delega per il riordino delle disposizioni legislative vigenti);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Arial Narrow" w:hAnsi="Arial Narrow"/>
                <w:sz w:val="22"/>
                <w:szCs w:val="22"/>
              </w:rPr>
            </w:pPr>
            <w:r w:rsidRPr="00DF038E">
              <w:rPr>
                <w:rStyle w:val="Enfasigrassetto"/>
                <w:rFonts w:ascii="Arial Narrow" w:hAnsi="Arial Narrow"/>
                <w:sz w:val="22"/>
                <w:szCs w:val="22"/>
                <w:u w:val="single"/>
              </w:rPr>
              <w:t>Legge 170/2010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Decreto del Presidente della Repubblica 22 giugno 2009 n. 122 </w:t>
            </w:r>
            <w:r w:rsidRPr="00CA0A33">
              <w:rPr>
                <w:rFonts w:ascii="Arial Narrow" w:hAnsi="Arial Narrow"/>
                <w:sz w:val="22"/>
                <w:szCs w:val="22"/>
              </w:rPr>
              <w:t>(Regolamento recante coordinamento delle norme vigenti per la valutazione degli alunni e ulteriori modalità applicative in materia, ai sensi degli articoli 2 e 3 del decreto-legge 1° settembre 2008, n. 137, convertito, con modificazioni, dalla legge 30 ottobre 2008, n. 169);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3 marzo 2009 n. 18</w:t>
            </w:r>
            <w:r w:rsidRPr="00CA0A33">
              <w:rPr>
                <w:rFonts w:ascii="Arial Narrow" w:hAnsi="Arial Narrow"/>
                <w:sz w:val="22"/>
                <w:szCs w:val="22"/>
              </w:rPr>
              <w:t> (Ratifica ed esecuzione della Convenzione delle Nazioni Unite sui diritti delle persone con disabilità, con Protocollo opzionale, fatta a New York il 13 dicembre 2006 e istituzione dell'Osservatorio nazionale sulla condizione delle persone con disabilità);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30 ottobre 2008 n. 169</w:t>
            </w:r>
            <w:r w:rsidRPr="00CA0A33">
              <w:rPr>
                <w:rFonts w:ascii="Arial Narrow" w:hAnsi="Arial Narrow"/>
                <w:sz w:val="22"/>
                <w:szCs w:val="22"/>
              </w:rPr>
              <w:t> (Conversione in legge, con modificazioni, del decreto-legge 1º settembre 2008, n. 137, recante disposizioni urgenti in materia di istruzione e università);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11 gennaio 2007 n. 1</w:t>
            </w:r>
            <w:r w:rsidRPr="00CA0A33">
              <w:rPr>
                <w:rFonts w:ascii="Arial Narrow" w:hAnsi="Arial Narrow"/>
                <w:sz w:val="22"/>
                <w:szCs w:val="22"/>
              </w:rPr>
              <w:t> (Disposizioni in materia di esami di Stato conclusivi dei corsi di studio di istruzione secondaria superiore e delega al Governo in materia di raccordo tra la scuola e le università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28 marzo 2003 n. 53</w:t>
            </w:r>
            <w:r w:rsidRPr="00CA0A33">
              <w:rPr>
                <w:rFonts w:ascii="Arial Narrow" w:hAnsi="Arial Narrow"/>
                <w:sz w:val="22"/>
                <w:szCs w:val="22"/>
              </w:rPr>
              <w:t> (Delega al Governo per la definizione delle norme generali sull'istruzione e dei livelli essenziali delle prestazioni in materia di istruzione e formazione professionale);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Decreto del Presidente della Repubblica 23 luglio 1998 n. 323</w:t>
            </w:r>
            <w:r w:rsidRPr="00CA0A33">
              <w:rPr>
                <w:rFonts w:ascii="Arial Narrow" w:hAnsi="Arial Narrow"/>
                <w:sz w:val="22"/>
                <w:szCs w:val="22"/>
              </w:rPr>
              <w:t> (Regolamento recante disciplina degli esami di Stato conclusivi dei corsi di studio di istruzione secondaria superiore, a norma dell'articolo 1 della legge 10 dicembre 1997, n. 425.);</w:t>
            </w:r>
          </w:p>
        </w:tc>
      </w:tr>
      <w:tr w:rsidR="00DF038E" w:rsidTr="007F4983">
        <w:tc>
          <w:tcPr>
            <w:tcW w:w="10345" w:type="dxa"/>
          </w:tcPr>
          <w:p w:rsidR="00DF038E" w:rsidRPr="00CA0A33" w:rsidRDefault="00DF038E" w:rsidP="007F498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Decreto Legislativo 16 aprile 1994 n. 297</w:t>
            </w:r>
            <w:r w:rsidRPr="00CA0A33">
              <w:rPr>
                <w:rFonts w:ascii="Arial Narrow" w:hAnsi="Arial Narrow"/>
                <w:sz w:val="22"/>
                <w:szCs w:val="22"/>
              </w:rPr>
              <w:t> (Approvazione del testo unico delle disposizioni legislative vigenti in materia di istruzione, relative alle scuole di ogni ordine e grado)</w:t>
            </w:r>
            <w:r>
              <w:rPr>
                <w:rFonts w:ascii="Arial Narrow" w:hAnsi="Arial Narrow"/>
                <w:sz w:val="22"/>
                <w:szCs w:val="22"/>
              </w:rPr>
              <w:t>, art. 318;</w:t>
            </w:r>
          </w:p>
        </w:tc>
      </w:tr>
    </w:tbl>
    <w:p w:rsidR="00DF038E" w:rsidRPr="007D392D" w:rsidRDefault="00DF038E" w:rsidP="003C233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jc w:val="both"/>
        <w:rPr>
          <w:rFonts w:ascii="Arial Narrow" w:eastAsia="Arial" w:hAnsi="Arial Narrow" w:cs="Arial"/>
          <w:sz w:val="22"/>
          <w:szCs w:val="22"/>
        </w:rPr>
      </w:pPr>
    </w:p>
    <w:sectPr w:rsidR="00DF038E" w:rsidRPr="007D392D" w:rsidSect="00707B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F8" w:rsidRDefault="00114BF8" w:rsidP="00707BA4">
      <w:r>
        <w:separator/>
      </w:r>
    </w:p>
  </w:endnote>
  <w:endnote w:type="continuationSeparator" w:id="0">
    <w:p w:rsidR="00114BF8" w:rsidRDefault="00114BF8" w:rsidP="0070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5E401D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E39E4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5E401D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E39E4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21E3D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  <w:sz w:val="22"/>
        <w:szCs w:val="2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della provincia di PU – 2015-2020</w:t>
    </w:r>
  </w:p>
  <w:p w:rsidR="007E39E4" w:rsidRDefault="00E83E0F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Modello P</w:t>
    </w:r>
    <w:r w:rsidR="007E39E4">
      <w:rPr>
        <w:rFonts w:ascii="Arial" w:eastAsia="Arial" w:hAnsi="Arial" w:cs="Arial"/>
        <w:color w:val="000000"/>
        <w:sz w:val="12"/>
        <w:szCs w:val="12"/>
      </w:rPr>
      <w:t>4_Relazione di Presentazione all’e</w:t>
    </w:r>
    <w:r w:rsidR="00A958D4">
      <w:rPr>
        <w:rFonts w:ascii="Arial" w:eastAsia="Arial" w:hAnsi="Arial" w:cs="Arial"/>
        <w:color w:val="000000"/>
        <w:sz w:val="12"/>
        <w:szCs w:val="12"/>
      </w:rPr>
      <w:t>same di Stato del II ciclo del c</w:t>
    </w:r>
    <w:r w:rsidR="007E39E4">
      <w:rPr>
        <w:rFonts w:ascii="Arial" w:eastAsia="Arial" w:hAnsi="Arial" w:cs="Arial"/>
        <w:color w:val="000000"/>
        <w:sz w:val="12"/>
        <w:szCs w:val="12"/>
      </w:rPr>
      <w:t>andidato</w:t>
    </w:r>
    <w:r w:rsidR="00A958D4">
      <w:rPr>
        <w:rFonts w:ascii="Arial" w:eastAsia="Arial" w:hAnsi="Arial" w:cs="Arial"/>
        <w:color w:val="000000"/>
        <w:sz w:val="12"/>
        <w:szCs w:val="12"/>
      </w:rPr>
      <w:t xml:space="preserve"> con</w:t>
    </w:r>
    <w:r w:rsidR="007E39E4">
      <w:rPr>
        <w:rFonts w:ascii="Arial" w:eastAsia="Arial" w:hAnsi="Arial" w:cs="Arial"/>
        <w:color w:val="000000"/>
        <w:sz w:val="12"/>
        <w:szCs w:val="12"/>
      </w:rPr>
      <w:t xml:space="preserve"> </w:t>
    </w:r>
    <w:r w:rsidR="00EC073F">
      <w:rPr>
        <w:rFonts w:ascii="Arial" w:eastAsia="Arial" w:hAnsi="Arial" w:cs="Arial"/>
        <w:color w:val="000000"/>
        <w:sz w:val="12"/>
        <w:szCs w:val="12"/>
      </w:rPr>
      <w:t>DSA</w:t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della provincia di PU – 2015-2020</w:t>
    </w:r>
  </w:p>
  <w:p w:rsidR="007E39E4" w:rsidRDefault="00A958D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Modello P</w:t>
    </w:r>
    <w:r w:rsidR="007E39E4">
      <w:rPr>
        <w:rFonts w:ascii="Arial" w:eastAsia="Arial" w:hAnsi="Arial" w:cs="Arial"/>
        <w:color w:val="000000"/>
        <w:sz w:val="12"/>
        <w:szCs w:val="12"/>
      </w:rPr>
      <w:t>4_Relazione di presentazione all’esame di stato del II ciclo de</w:t>
    </w:r>
    <w:r w:rsidR="00EC073F">
      <w:rPr>
        <w:rFonts w:ascii="Arial" w:eastAsia="Arial" w:hAnsi="Arial" w:cs="Arial"/>
        <w:color w:val="000000"/>
        <w:sz w:val="12"/>
        <w:szCs w:val="12"/>
      </w:rPr>
      <w:t>l candidato con DSA</w:t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F8" w:rsidRDefault="00114BF8" w:rsidP="00707BA4">
      <w:r>
        <w:separator/>
      </w:r>
    </w:p>
  </w:footnote>
  <w:footnote w:type="continuationSeparator" w:id="0">
    <w:p w:rsidR="00114BF8" w:rsidRDefault="00114BF8" w:rsidP="0070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Pr="00EF4468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4E3"/>
    <w:multiLevelType w:val="multilevel"/>
    <w:tmpl w:val="DB1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6972"/>
    <w:multiLevelType w:val="multilevel"/>
    <w:tmpl w:val="23F23F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056030"/>
    <w:multiLevelType w:val="multilevel"/>
    <w:tmpl w:val="C56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A58BD"/>
    <w:multiLevelType w:val="hybridMultilevel"/>
    <w:tmpl w:val="4B14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AE0"/>
    <w:multiLevelType w:val="multilevel"/>
    <w:tmpl w:val="EA4892D2"/>
    <w:lvl w:ilvl="0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1DF76FE"/>
    <w:multiLevelType w:val="multilevel"/>
    <w:tmpl w:val="78F2708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2C4450B"/>
    <w:multiLevelType w:val="multilevel"/>
    <w:tmpl w:val="896C9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9606501"/>
    <w:multiLevelType w:val="multilevel"/>
    <w:tmpl w:val="6CEAD3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D5F251A"/>
    <w:multiLevelType w:val="multilevel"/>
    <w:tmpl w:val="0B7AC300"/>
    <w:lvl w:ilvl="0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4464DD"/>
    <w:multiLevelType w:val="multilevel"/>
    <w:tmpl w:val="8D1A8BC0"/>
    <w:lvl w:ilvl="0">
      <w:start w:val="1"/>
      <w:numFmt w:val="decimal"/>
      <w:lvlText w:val="%1)"/>
      <w:lvlJc w:val="left"/>
      <w:pPr>
        <w:ind w:left="227" w:hanging="2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2BE25F9"/>
    <w:multiLevelType w:val="multilevel"/>
    <w:tmpl w:val="0A0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838B6"/>
    <w:multiLevelType w:val="multilevel"/>
    <w:tmpl w:val="94E49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E7208D7"/>
    <w:multiLevelType w:val="multilevel"/>
    <w:tmpl w:val="BF3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F1E8D"/>
    <w:multiLevelType w:val="hybridMultilevel"/>
    <w:tmpl w:val="9990B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7F81"/>
    <w:multiLevelType w:val="multilevel"/>
    <w:tmpl w:val="9F92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D15EF"/>
    <w:multiLevelType w:val="multilevel"/>
    <w:tmpl w:val="542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93A82"/>
    <w:multiLevelType w:val="hybridMultilevel"/>
    <w:tmpl w:val="B9F436F6"/>
    <w:lvl w:ilvl="0" w:tplc="AF003D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F4A6B"/>
    <w:multiLevelType w:val="multilevel"/>
    <w:tmpl w:val="74C41C3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E927201"/>
    <w:multiLevelType w:val="multilevel"/>
    <w:tmpl w:val="B2C02184"/>
    <w:lvl w:ilvl="0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4"/>
    <w:rsid w:val="00033807"/>
    <w:rsid w:val="0004587E"/>
    <w:rsid w:val="000819A6"/>
    <w:rsid w:val="00093DB3"/>
    <w:rsid w:val="000A0A24"/>
    <w:rsid w:val="00114BF8"/>
    <w:rsid w:val="00123BF3"/>
    <w:rsid w:val="00150EC8"/>
    <w:rsid w:val="001C123D"/>
    <w:rsid w:val="001F21EA"/>
    <w:rsid w:val="00234A2C"/>
    <w:rsid w:val="002534BF"/>
    <w:rsid w:val="00256AB5"/>
    <w:rsid w:val="00321E3D"/>
    <w:rsid w:val="00322024"/>
    <w:rsid w:val="003759D6"/>
    <w:rsid w:val="003C233B"/>
    <w:rsid w:val="003C4B46"/>
    <w:rsid w:val="0042696D"/>
    <w:rsid w:val="004369B4"/>
    <w:rsid w:val="00440DC4"/>
    <w:rsid w:val="00463C28"/>
    <w:rsid w:val="004914A5"/>
    <w:rsid w:val="004A1883"/>
    <w:rsid w:val="004B35B6"/>
    <w:rsid w:val="004C5022"/>
    <w:rsid w:val="004F0360"/>
    <w:rsid w:val="00500E0B"/>
    <w:rsid w:val="0050522C"/>
    <w:rsid w:val="0051421E"/>
    <w:rsid w:val="005242E0"/>
    <w:rsid w:val="00527408"/>
    <w:rsid w:val="005430E8"/>
    <w:rsid w:val="00577EE1"/>
    <w:rsid w:val="005965D3"/>
    <w:rsid w:val="005D1B98"/>
    <w:rsid w:val="005E401D"/>
    <w:rsid w:val="005F2C54"/>
    <w:rsid w:val="00614749"/>
    <w:rsid w:val="00641B48"/>
    <w:rsid w:val="00646F41"/>
    <w:rsid w:val="006A5FE6"/>
    <w:rsid w:val="006A60CE"/>
    <w:rsid w:val="00707BA4"/>
    <w:rsid w:val="00717833"/>
    <w:rsid w:val="007A7DA1"/>
    <w:rsid w:val="007D392D"/>
    <w:rsid w:val="007D3BDF"/>
    <w:rsid w:val="007E039A"/>
    <w:rsid w:val="007E39E4"/>
    <w:rsid w:val="007F160D"/>
    <w:rsid w:val="0081444F"/>
    <w:rsid w:val="00814573"/>
    <w:rsid w:val="00816C9A"/>
    <w:rsid w:val="00823F00"/>
    <w:rsid w:val="00854331"/>
    <w:rsid w:val="008C0CC9"/>
    <w:rsid w:val="008F6568"/>
    <w:rsid w:val="009064E0"/>
    <w:rsid w:val="009349F1"/>
    <w:rsid w:val="00934D0B"/>
    <w:rsid w:val="009B0041"/>
    <w:rsid w:val="009D74DD"/>
    <w:rsid w:val="009D7F20"/>
    <w:rsid w:val="009E159B"/>
    <w:rsid w:val="009E2C31"/>
    <w:rsid w:val="009E7DA7"/>
    <w:rsid w:val="00A056C8"/>
    <w:rsid w:val="00A402BD"/>
    <w:rsid w:val="00A57D16"/>
    <w:rsid w:val="00A624C2"/>
    <w:rsid w:val="00A958D4"/>
    <w:rsid w:val="00AC06B9"/>
    <w:rsid w:val="00B061E1"/>
    <w:rsid w:val="00B21D19"/>
    <w:rsid w:val="00B71250"/>
    <w:rsid w:val="00B7299B"/>
    <w:rsid w:val="00B76D84"/>
    <w:rsid w:val="00BA6613"/>
    <w:rsid w:val="00BD0C76"/>
    <w:rsid w:val="00C158DB"/>
    <w:rsid w:val="00C5648F"/>
    <w:rsid w:val="00C6306A"/>
    <w:rsid w:val="00C748E6"/>
    <w:rsid w:val="00CD2342"/>
    <w:rsid w:val="00CE0D7D"/>
    <w:rsid w:val="00CE53B8"/>
    <w:rsid w:val="00CE5EC0"/>
    <w:rsid w:val="00CF5338"/>
    <w:rsid w:val="00D3709F"/>
    <w:rsid w:val="00D44649"/>
    <w:rsid w:val="00D625DC"/>
    <w:rsid w:val="00DA2E99"/>
    <w:rsid w:val="00DB3A84"/>
    <w:rsid w:val="00DC7DE2"/>
    <w:rsid w:val="00DF038E"/>
    <w:rsid w:val="00E2472B"/>
    <w:rsid w:val="00E83E0F"/>
    <w:rsid w:val="00EC073F"/>
    <w:rsid w:val="00EC4A6A"/>
    <w:rsid w:val="00EE2474"/>
    <w:rsid w:val="00EE3DDB"/>
    <w:rsid w:val="00EE4DC0"/>
    <w:rsid w:val="00EF3801"/>
    <w:rsid w:val="00EF4468"/>
    <w:rsid w:val="00EF6A64"/>
    <w:rsid w:val="00F6005A"/>
    <w:rsid w:val="00F77E67"/>
    <w:rsid w:val="00FA2227"/>
    <w:rsid w:val="00FC2BA3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E2"/>
  </w:style>
  <w:style w:type="paragraph" w:styleId="Titolo1">
    <w:name w:val="heading 1"/>
    <w:basedOn w:val="Normale1"/>
    <w:next w:val="Normale1"/>
    <w:rsid w:val="00707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7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7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7B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7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7BA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7BA4"/>
  </w:style>
  <w:style w:type="table" w:customStyle="1" w:styleId="TableNormal">
    <w:name w:val="Table Normal"/>
    <w:rsid w:val="00707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7B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7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59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9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E39E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39E4"/>
    <w:rPr>
      <w:i/>
      <w:iCs/>
    </w:rPr>
  </w:style>
  <w:style w:type="paragraph" w:customStyle="1" w:styleId="autore">
    <w:name w:val="autore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9E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9E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customStyle="1" w:styleId="tornasu">
    <w:name w:val="torna_su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ciacommento">
    <w:name w:val="lascia_commento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F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E2"/>
  </w:style>
  <w:style w:type="paragraph" w:styleId="Titolo1">
    <w:name w:val="heading 1"/>
    <w:basedOn w:val="Normale1"/>
    <w:next w:val="Normale1"/>
    <w:rsid w:val="00707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7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7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7B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7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7BA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7BA4"/>
  </w:style>
  <w:style w:type="table" w:customStyle="1" w:styleId="TableNormal">
    <w:name w:val="Table Normal"/>
    <w:rsid w:val="00707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7B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7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59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9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E39E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39E4"/>
    <w:rPr>
      <w:i/>
      <w:iCs/>
    </w:rPr>
  </w:style>
  <w:style w:type="paragraph" w:customStyle="1" w:styleId="autore">
    <w:name w:val="autore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9E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9E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customStyle="1" w:styleId="tornasu">
    <w:name w:val="torna_su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ciacommento">
    <w:name w:val="lascia_commento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F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2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perabile.it/cs/superabile/normativa-e-diritti/decreti/decreti-legislativi/20170529e-decreto-legislativo-del-13-aprile-2017-n-66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superabile.it/cs/superabile/normativa-e-diritti/leggi/leggi-nazionali/20180926e-decreto-legge-25-luglio-2018-n-91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ur.gov.it/-/esami-di-stato-del-secondo-ciclo-di-istruzione-a-s-2018-2019-d-m-769-del-26-novembre-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uperabile.it/cs/superabile/normativa-e-diritti/leggi/leggi-nazionali/legge-13-luglio-2015-n-107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hyperlink" Target="https://www.superabile.it/cs/superabile/normativa-e-diritti/decreti/decreti-legislativi/20170612e-decreto-legislativo-13-aprile-2017-n-6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1AD6-AABC-4544-BAAC-E7DBFF2A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lelly</dc:creator>
  <cp:lastModifiedBy>Administrator</cp:lastModifiedBy>
  <cp:revision>4</cp:revision>
  <cp:lastPrinted>2019-05-02T11:29:00Z</cp:lastPrinted>
  <dcterms:created xsi:type="dcterms:W3CDTF">2019-05-02T11:26:00Z</dcterms:created>
  <dcterms:modified xsi:type="dcterms:W3CDTF">2019-05-02T11:29:00Z</dcterms:modified>
</cp:coreProperties>
</file>